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</w:rPr>
      </w:pP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ДУМА ГОРОДА ХАНТЫ-МАНСИЙСКА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РЕШЕНИЕ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от 30 сентября 2005 г. N 104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 СИСТЕМЕ НАЛОГООБЛОЖЕНИЯ В ВИДЕ ЕДИНОГО НАЛОГА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НА ВМЕНЕННЫЙ ДОХОД ДЛЯ ОТДЕЛЬНЫХ ВИДОВ ДЕЯТЕЛЬНОСТИ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(в ред. решений Думы города Ханты-Мансийска</w:t>
      </w:r>
      <w:proofErr w:type="gramEnd"/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31.10.2008 </w:t>
      </w:r>
      <w:hyperlink r:id="rId4" w:history="1">
        <w:r>
          <w:rPr>
            <w:rFonts w:ascii="Calibri" w:hAnsi="Calibri" w:cs="Calibri"/>
            <w:color w:val="0000FF"/>
          </w:rPr>
          <w:t>N 642</w:t>
        </w:r>
      </w:hyperlink>
      <w:r>
        <w:rPr>
          <w:rFonts w:ascii="Calibri" w:hAnsi="Calibri" w:cs="Calibri"/>
        </w:rPr>
        <w:t xml:space="preserve">, от 29.10.2010 </w:t>
      </w:r>
      <w:hyperlink r:id="rId5" w:history="1">
        <w:r>
          <w:rPr>
            <w:rFonts w:ascii="Calibri" w:hAnsi="Calibri" w:cs="Calibri"/>
            <w:color w:val="0000FF"/>
          </w:rPr>
          <w:t>N 1048</w:t>
        </w:r>
      </w:hyperlink>
      <w:r>
        <w:rPr>
          <w:rFonts w:ascii="Calibri" w:hAnsi="Calibri" w:cs="Calibri"/>
        </w:rPr>
        <w:t>,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01.10.2012 </w:t>
      </w:r>
      <w:hyperlink r:id="rId6" w:history="1">
        <w:r>
          <w:rPr>
            <w:rFonts w:ascii="Calibri" w:hAnsi="Calibri" w:cs="Calibri"/>
            <w:color w:val="0000FF"/>
          </w:rPr>
          <w:t>N 278-V РД</w:t>
        </w:r>
      </w:hyperlink>
      <w:r>
        <w:rPr>
          <w:rFonts w:ascii="Calibri" w:hAnsi="Calibri" w:cs="Calibri"/>
        </w:rPr>
        <w:t>)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Рассмотрев вопрос о системе налогообложения в виде единого налога на вмененный доход для отдельных видов деятельности, Дума города решила: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В </w:t>
      </w:r>
      <w:proofErr w:type="gramStart"/>
      <w:r>
        <w:rPr>
          <w:rFonts w:ascii="Calibri" w:hAnsi="Calibri" w:cs="Calibri"/>
        </w:rPr>
        <w:t>соответствии</w:t>
      </w:r>
      <w:proofErr w:type="gramEnd"/>
      <w:r>
        <w:rPr>
          <w:rFonts w:ascii="Calibri" w:hAnsi="Calibri" w:cs="Calibri"/>
        </w:rPr>
        <w:t xml:space="preserve"> с Налоговым </w:t>
      </w:r>
      <w:hyperlink r:id="rId7" w:history="1">
        <w:r>
          <w:rPr>
            <w:rFonts w:ascii="Calibri" w:hAnsi="Calibri" w:cs="Calibri"/>
            <w:color w:val="0000FF"/>
          </w:rPr>
          <w:t>кодексом</w:t>
        </w:r>
      </w:hyperlink>
      <w:r>
        <w:rPr>
          <w:rFonts w:ascii="Calibri" w:hAnsi="Calibri" w:cs="Calibri"/>
        </w:rPr>
        <w:t xml:space="preserve"> Российской Федерации настоящим Решением вводится на территории города Ханты-Мансийска система налогообложения в виде единого налога на вмененный доход для отдельных видов деятельности (далее по тексту - единый налог).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Утратил силу с 1 января 2011 года. - </w:t>
      </w:r>
      <w:hyperlink r:id="rId8" w:history="1">
        <w:r>
          <w:rPr>
            <w:rFonts w:ascii="Calibri" w:hAnsi="Calibri" w:cs="Calibri"/>
            <w:color w:val="0000FF"/>
          </w:rPr>
          <w:t>Решение</w:t>
        </w:r>
      </w:hyperlink>
      <w:r>
        <w:rPr>
          <w:rFonts w:ascii="Calibri" w:hAnsi="Calibri" w:cs="Calibri"/>
        </w:rPr>
        <w:t xml:space="preserve"> Думы города Ханты-Мансийска от 29.10.2010 N 1048.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Ввести единый налог в отношении следующих видов предпринимательской деятельности: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оказание бытовых услуг: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ремонт, окраска и пошив обуви;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ремонт и пошив швейных, меховых и кожаных изделий, головных уборов и изделий текстильной галантереи, ремонт, пошив и вязание трикотажных изделий;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ремонт и техническое обслуживание бытовой радиоэлектронной аппаратуры, бытовых машин, бытовых приборов, ремонт и изготовление металлоизделий;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изготовление и ремонт мебели;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химическая чистка и крашение, услуги прачечных;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услуги фотоателье и фот</w:t>
      </w:r>
      <w:proofErr w:type="gramStart"/>
      <w:r>
        <w:rPr>
          <w:rFonts w:ascii="Calibri" w:hAnsi="Calibri" w:cs="Calibri"/>
        </w:rPr>
        <w:t>о-</w:t>
      </w:r>
      <w:proofErr w:type="gramEnd"/>
      <w:r>
        <w:rPr>
          <w:rFonts w:ascii="Calibri" w:hAnsi="Calibri" w:cs="Calibri"/>
        </w:rPr>
        <w:t xml:space="preserve"> и кинолабораторий;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услуги бань и душевых, парикмахерских, оказываемых организациями коммунально-бытового назначения; услуги предприятий по прокату; ритуальные, обрядовые услуги;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(пп. "ж" в ред. </w:t>
      </w:r>
      <w:hyperlink r:id="rId9" w:history="1">
        <w:r>
          <w:rPr>
            <w:rFonts w:ascii="Calibri" w:hAnsi="Calibri" w:cs="Calibri"/>
            <w:color w:val="0000FF"/>
          </w:rPr>
          <w:t>решения</w:t>
        </w:r>
      </w:hyperlink>
      <w:r>
        <w:rPr>
          <w:rFonts w:ascii="Calibri" w:hAnsi="Calibri" w:cs="Calibri"/>
        </w:rPr>
        <w:t xml:space="preserve"> Думы города Ханты-Мансийска от 01.10.2012 N 278-V РД)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оказание ветеринарных услуг;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оказание услуг по ремонту, техническому обслуживанию и мойке автомототранспортных средств;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10" w:history="1">
        <w:r>
          <w:rPr>
            <w:rFonts w:ascii="Calibri" w:hAnsi="Calibri" w:cs="Calibri"/>
            <w:color w:val="0000FF"/>
          </w:rPr>
          <w:t>решения</w:t>
        </w:r>
      </w:hyperlink>
      <w:r>
        <w:rPr>
          <w:rFonts w:ascii="Calibri" w:hAnsi="Calibri" w:cs="Calibri"/>
        </w:rPr>
        <w:t xml:space="preserve"> Думы города Ханты-Мансийска от 01.10.2012 N 278-V РД)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оказание услуг по предоставлению во временное владение (в пользование) мест для стоянки автомототранспортных средств, а также по хранению автомототранспортных средств на платных стоянках (за исключением штрафных автостоянок);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11" w:history="1">
        <w:r>
          <w:rPr>
            <w:rFonts w:ascii="Calibri" w:hAnsi="Calibri" w:cs="Calibri"/>
            <w:color w:val="0000FF"/>
          </w:rPr>
          <w:t>решения</w:t>
        </w:r>
      </w:hyperlink>
      <w:r>
        <w:rPr>
          <w:rFonts w:ascii="Calibri" w:hAnsi="Calibri" w:cs="Calibri"/>
        </w:rPr>
        <w:t xml:space="preserve"> Думы города Ханты-Мансийска от 01.10.2012 N 278-V РД)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оказание автотранспортных услуг по перевозке пассажиров и грузов, осуществляемых организациями и индивидуальными предпринимателями, имеющими на праве собственности или ином праве (пользования, владения и (или) распоряжения) не более 20 транспортных средств, предназначенных для оказания таких услуг;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6) розничная торговля, осуществляемая через магазины и павильоны с площадью торгового зала не более 150 квадратных метров по каждому объекту организации торговли;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7) розничная торговля, осуществляемая через объекты стационарной торговой сети, не имеющей торговых залов, а также объекты нестационарной торговой сети;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8) оказание услуг общественного питания, осуществляемых через объекты организации общественного питания с площадью зала обслуживания посетителей не более 150 квадратных метров по каждому объекту организации общественного питания;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9) оказание услуг общественного питания, осуществляемых через объекты организации общественного питания, не имеющие зала обслуживания посетителей;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10) распространение наружной рекламы с использованием рекламных конструкций;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11) размещение рекламы с использованием внешних и внутренних поверхностей транспортных средств;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(пп. 11 в ред. </w:t>
      </w:r>
      <w:hyperlink r:id="rId12" w:history="1">
        <w:r>
          <w:rPr>
            <w:rFonts w:ascii="Calibri" w:hAnsi="Calibri" w:cs="Calibri"/>
            <w:color w:val="0000FF"/>
          </w:rPr>
          <w:t>решения</w:t>
        </w:r>
      </w:hyperlink>
      <w:r>
        <w:rPr>
          <w:rFonts w:ascii="Calibri" w:hAnsi="Calibri" w:cs="Calibri"/>
        </w:rPr>
        <w:t xml:space="preserve"> Думы города Ханты-Мансийска от 01.10.2012 N 278-V РД)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12) оказание услуг по временному размещению и проживанию организациями и предпринимателями, использующими в каждом объекте предоставления данных услуг общую площадь помещений для временного размещения и проживания не более 500 квадратных метров;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13) оказание услуг по передаче во временное владение и (или) в пользование торговых мест, расположенных в объектах стационарной торговой сети, не имеющих торговых залов, объектов нестационарной торговой сети, а также объектов организации общественного питания, не имеющих зала обслуживания посетителей;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14) оказание услуг по передаче во временное владение и (или) в пользование земельных участков для размещения объектов стационарной и нестационарной торговой сети, а также объектов организации общественного питания.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3 в ред. </w:t>
      </w:r>
      <w:hyperlink r:id="rId13" w:history="1">
        <w:r>
          <w:rPr>
            <w:rFonts w:ascii="Calibri" w:hAnsi="Calibri" w:cs="Calibri"/>
            <w:color w:val="0000FF"/>
          </w:rPr>
          <w:t>решения</w:t>
        </w:r>
      </w:hyperlink>
      <w:r>
        <w:rPr>
          <w:rFonts w:ascii="Calibri" w:hAnsi="Calibri" w:cs="Calibri"/>
        </w:rPr>
        <w:t xml:space="preserve"> Думы города Ханты-Мансийска от 31.10.2008 N 642)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Установить </w:t>
      </w:r>
      <w:hyperlink w:anchor="Par72" w:history="1">
        <w:r>
          <w:rPr>
            <w:rFonts w:ascii="Calibri" w:hAnsi="Calibri" w:cs="Calibri"/>
            <w:color w:val="0000FF"/>
          </w:rPr>
          <w:t>значение</w:t>
        </w:r>
      </w:hyperlink>
      <w:r>
        <w:rPr>
          <w:rFonts w:ascii="Calibri" w:hAnsi="Calibri" w:cs="Calibri"/>
        </w:rPr>
        <w:t xml:space="preserve"> корректирующего коэффициента базовой доходности К</w:t>
      </w:r>
      <w:proofErr w:type="gramStart"/>
      <w:r>
        <w:rPr>
          <w:rFonts w:ascii="Calibri" w:hAnsi="Calibri" w:cs="Calibri"/>
        </w:rPr>
        <w:t>2</w:t>
      </w:r>
      <w:proofErr w:type="gramEnd"/>
      <w:r>
        <w:rPr>
          <w:rFonts w:ascii="Calibri" w:hAnsi="Calibri" w:cs="Calibri"/>
        </w:rPr>
        <w:t>, учитывающего совокупность особенностей ведения предпринимательской деятельности, в соответствии с приложением к настоящему Решению (прилагается).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Для тех видов предпринимательской деятельности, для которых значения корректирующего коэффициента К</w:t>
      </w:r>
      <w:proofErr w:type="gramStart"/>
      <w:r>
        <w:rPr>
          <w:rFonts w:ascii="Calibri" w:hAnsi="Calibri" w:cs="Calibri"/>
        </w:rPr>
        <w:t>2</w:t>
      </w:r>
      <w:proofErr w:type="gramEnd"/>
      <w:r>
        <w:rPr>
          <w:rFonts w:ascii="Calibri" w:hAnsi="Calibri" w:cs="Calibri"/>
        </w:rPr>
        <w:t xml:space="preserve"> не определены, К2 устанавливается в размере, равном 1,0.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4 в ред. </w:t>
      </w:r>
      <w:hyperlink r:id="rId14" w:history="1">
        <w:r>
          <w:rPr>
            <w:rFonts w:ascii="Calibri" w:hAnsi="Calibri" w:cs="Calibri"/>
            <w:color w:val="0000FF"/>
          </w:rPr>
          <w:t>решения</w:t>
        </w:r>
      </w:hyperlink>
      <w:r>
        <w:rPr>
          <w:rFonts w:ascii="Calibri" w:hAnsi="Calibri" w:cs="Calibri"/>
        </w:rPr>
        <w:t xml:space="preserve"> Думы города Ханты-Мансийска от 31.10.2008 N 642)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Единый налог вводится в действие на территории города Ханты-Мансийска с 1 января 2006 года.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 Настоящее Решение подлежит официальному опубликованию.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6 в ред. </w:t>
      </w:r>
      <w:hyperlink r:id="rId15" w:history="1">
        <w:r>
          <w:rPr>
            <w:rFonts w:ascii="Calibri" w:hAnsi="Calibri" w:cs="Calibri"/>
            <w:color w:val="0000FF"/>
          </w:rPr>
          <w:t>решения</w:t>
        </w:r>
      </w:hyperlink>
      <w:r>
        <w:rPr>
          <w:rFonts w:ascii="Calibri" w:hAnsi="Calibri" w:cs="Calibri"/>
        </w:rPr>
        <w:t xml:space="preserve"> Думы города Ханты-Мансийска от 29.10.2010 N 1048)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 Настоящее Решение вступает в силу с 1 января 2006 года, но не ранее одного месяца со дня официального опубликования.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И.о. Мэра города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Первый заместитель Мэра города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В.Г.БУКАРИНОВ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 октября 2005 года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r>
        <w:rPr>
          <w:rFonts w:ascii="Calibri" w:hAnsi="Calibri" w:cs="Calibri"/>
        </w:rPr>
        <w:t>Приложение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к Решению Думы города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30.09.2005 г. N 104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bookmarkStart w:id="0" w:name="Par72"/>
      <w:bookmarkEnd w:id="0"/>
      <w:r>
        <w:rPr>
          <w:rFonts w:ascii="Calibri" w:hAnsi="Calibri" w:cs="Calibri"/>
          <w:b/>
          <w:bCs/>
        </w:rPr>
        <w:t>ЗНАЧЕНИЯ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КОРРЕКТИРУЮЩЕГО КОЭФФИЦИЕНТА К</w:t>
      </w:r>
      <w:proofErr w:type="gramStart"/>
      <w:r>
        <w:rPr>
          <w:rFonts w:ascii="Calibri" w:hAnsi="Calibri" w:cs="Calibri"/>
          <w:b/>
          <w:bCs/>
        </w:rPr>
        <w:t>2</w:t>
      </w:r>
      <w:proofErr w:type="gramEnd"/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(в ред. решений Думы города Ханты-Мансийска</w:t>
      </w:r>
      <w:proofErr w:type="gramEnd"/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31.10.2008 </w:t>
      </w:r>
      <w:hyperlink r:id="rId16" w:history="1">
        <w:r>
          <w:rPr>
            <w:rFonts w:ascii="Calibri" w:hAnsi="Calibri" w:cs="Calibri"/>
            <w:color w:val="0000FF"/>
          </w:rPr>
          <w:t>N 642</w:t>
        </w:r>
      </w:hyperlink>
      <w:r>
        <w:rPr>
          <w:rFonts w:ascii="Calibri" w:hAnsi="Calibri" w:cs="Calibri"/>
        </w:rPr>
        <w:t xml:space="preserve">, от 01.10.2012 </w:t>
      </w:r>
      <w:hyperlink r:id="rId17" w:history="1">
        <w:r>
          <w:rPr>
            <w:rFonts w:ascii="Calibri" w:hAnsi="Calibri" w:cs="Calibri"/>
            <w:color w:val="0000FF"/>
          </w:rPr>
          <w:t>N 278-V РД</w:t>
        </w:r>
      </w:hyperlink>
      <w:r>
        <w:rPr>
          <w:rFonts w:ascii="Calibri" w:hAnsi="Calibri" w:cs="Calibri"/>
        </w:rPr>
        <w:t>)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r>
        <w:rPr>
          <w:rFonts w:ascii="Calibri" w:hAnsi="Calibri" w:cs="Calibri"/>
        </w:rPr>
        <w:t>I. Коэффициенты, учитывающие вид деятельности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┌───────┬──────────────────────────────────────────────────┬──────────────┐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│       Вид предпринимательской деятельности       │Корректирующий│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│                                                  │коэффициент К</w:t>
      </w:r>
      <w:proofErr w:type="gramStart"/>
      <w:r>
        <w:rPr>
          <w:rFonts w:ascii="Courier New" w:hAnsi="Courier New" w:cs="Courier New"/>
          <w:sz w:val="20"/>
          <w:szCs w:val="20"/>
        </w:rPr>
        <w:t>2</w:t>
      </w:r>
      <w:proofErr w:type="gramEnd"/>
      <w:r>
        <w:rPr>
          <w:rFonts w:ascii="Courier New" w:hAnsi="Courier New" w:cs="Courier New"/>
          <w:sz w:val="20"/>
          <w:szCs w:val="20"/>
        </w:rPr>
        <w:t>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├───────┼──────────────────────────────────────────────────┼──────────────┤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│1      │Оказание бытовых услуг                            │      X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lastRenderedPageBreak/>
        <w:t>├───────┼──────────────────────────────────────────────────┼──────────────┤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│1.1    │Ремонт, окраска и пошив обуви                     │     0,8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├───────┼──────────────────────────────────────────────────┼──────────────┤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│1.2    │Ремонт и пошив швейных, меховых и кожаных изделий,│     0,8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│головных уборов и изделий текстильной галантереи, │       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│ремонт, пошив и вязание трикотажных изделий       │       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├───────┼──────────────────────────────────────────────────┼──────────────┤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│1.3    │Ремонт и техническое обслуживание бытовой         │      X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│радиоэлектронной аппаратуры, бытовых машин,       │       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│бытовых приборов, ремонт и изготовление           │       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│металлоизделий                                    │       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├───────┼──────────────────────────────────────────────────┼──────────────┤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│1.3.1  │Ремонт и техническое обслуживание бытовой         │     0,7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│радиоэлектронной аппаратуры, бытовых машин,       │       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│бытовых приборов, ремонт и изготовление           │       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proofErr w:type="gramStart"/>
      <w:r>
        <w:rPr>
          <w:rFonts w:ascii="Courier New" w:hAnsi="Courier New" w:cs="Courier New"/>
          <w:sz w:val="20"/>
          <w:szCs w:val="20"/>
        </w:rPr>
        <w:t>│       │металлоизделий (за исключением ремонта и          │              │</w:t>
      </w:r>
      <w:proofErr w:type="gramEnd"/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proofErr w:type="gramStart"/>
      <w:r>
        <w:rPr>
          <w:rFonts w:ascii="Courier New" w:hAnsi="Courier New" w:cs="Courier New"/>
          <w:sz w:val="20"/>
          <w:szCs w:val="20"/>
        </w:rPr>
        <w:t>│       │изготовления ювелирных и антикварных изделий (код │              │</w:t>
      </w:r>
      <w:proofErr w:type="gramEnd"/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proofErr w:type="gramStart"/>
      <w:r>
        <w:rPr>
          <w:rFonts w:ascii="Courier New" w:hAnsi="Courier New" w:cs="Courier New"/>
          <w:sz w:val="20"/>
          <w:szCs w:val="20"/>
        </w:rPr>
        <w:t>│       │</w:t>
      </w:r>
      <w:hyperlink r:id="rId18" w:history="1">
        <w:r>
          <w:rPr>
            <w:rFonts w:ascii="Courier New" w:hAnsi="Courier New" w:cs="Courier New"/>
            <w:color w:val="0000FF"/>
            <w:sz w:val="20"/>
            <w:szCs w:val="20"/>
          </w:rPr>
          <w:t>ОКУН 013439</w:t>
        </w:r>
      </w:hyperlink>
      <w:r>
        <w:rPr>
          <w:rFonts w:ascii="Courier New" w:hAnsi="Courier New" w:cs="Courier New"/>
          <w:sz w:val="20"/>
          <w:szCs w:val="20"/>
        </w:rPr>
        <w:t xml:space="preserve"> - </w:t>
      </w:r>
      <w:hyperlink r:id="rId19" w:history="1">
        <w:r>
          <w:rPr>
            <w:rFonts w:ascii="Courier New" w:hAnsi="Courier New" w:cs="Courier New"/>
            <w:color w:val="0000FF"/>
            <w:sz w:val="20"/>
            <w:szCs w:val="20"/>
          </w:rPr>
          <w:t>013449</w:t>
        </w:r>
      </w:hyperlink>
      <w:r>
        <w:rPr>
          <w:rFonts w:ascii="Courier New" w:hAnsi="Courier New" w:cs="Courier New"/>
          <w:sz w:val="20"/>
          <w:szCs w:val="20"/>
        </w:rPr>
        <w:t>)                             │              │</w:t>
      </w:r>
      <w:proofErr w:type="gramEnd"/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├───────┼──────────────────────────────────────────────────┼──────────────┤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│1.3.2  │Ремонт, изготовление </w:t>
      </w:r>
      <w:proofErr w:type="gramStart"/>
      <w:r>
        <w:rPr>
          <w:rFonts w:ascii="Courier New" w:hAnsi="Courier New" w:cs="Courier New"/>
          <w:sz w:val="20"/>
          <w:szCs w:val="20"/>
        </w:rPr>
        <w:t>ювелирных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 и антикварных      │     1,0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│изделий (</w:t>
      </w:r>
      <w:hyperlink r:id="rId20" w:history="1">
        <w:r>
          <w:rPr>
            <w:rFonts w:ascii="Courier New" w:hAnsi="Courier New" w:cs="Courier New"/>
            <w:color w:val="0000FF"/>
            <w:sz w:val="20"/>
            <w:szCs w:val="20"/>
          </w:rPr>
          <w:t>код ОКУН 013439</w:t>
        </w:r>
      </w:hyperlink>
      <w:r>
        <w:rPr>
          <w:rFonts w:ascii="Courier New" w:hAnsi="Courier New" w:cs="Courier New"/>
          <w:sz w:val="20"/>
          <w:szCs w:val="20"/>
        </w:rPr>
        <w:t xml:space="preserve"> - </w:t>
      </w:r>
      <w:hyperlink r:id="rId21" w:history="1">
        <w:r>
          <w:rPr>
            <w:rFonts w:ascii="Courier New" w:hAnsi="Courier New" w:cs="Courier New"/>
            <w:color w:val="0000FF"/>
            <w:sz w:val="20"/>
            <w:szCs w:val="20"/>
          </w:rPr>
          <w:t>013449</w:t>
        </w:r>
      </w:hyperlink>
      <w:r>
        <w:rPr>
          <w:rFonts w:ascii="Courier New" w:hAnsi="Courier New" w:cs="Courier New"/>
          <w:sz w:val="20"/>
          <w:szCs w:val="20"/>
        </w:rPr>
        <w:t>)                │       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├───────┼──────────────────────────────────────────────────┼──────────────┤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│1.4    │Изготовление и ремонт мебели                      │     1,0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├───────┼──────────────────────────────────────────────────┼──────────────┤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│1.5    │Химическая чистка и крашение, услуги прачечных    │     0,8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├───────┼──────────────────────────────────────────────────┼──────────────┤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│1.6    │Услуги фотоателье и фот</w:t>
      </w:r>
      <w:proofErr w:type="gramStart"/>
      <w:r>
        <w:rPr>
          <w:rFonts w:ascii="Courier New" w:hAnsi="Courier New" w:cs="Courier New"/>
          <w:sz w:val="20"/>
          <w:szCs w:val="20"/>
        </w:rPr>
        <w:t>о-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 и кинолабораторий       │     1,0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├───────┼──────────────────────────────────────────────────┼──────────────┤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│1.7    │Услуги бань и душевых, парикмахерских. Услуги     │      X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│предприятий по прокату. Ритуальные, обрядовые     │       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│услуги                                            │       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├───────┼──────────────────────────────────────────────────┼──────────────┤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│1.7.1  │Услуги бань и душевых                             │     1,0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├───────┼──────────────────────────────────────────────────┼──────────────┤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│1.7.2  │Услуги парикмахерских                             │     1,0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├───────┼──────────────────────────────────────────────────┼──────────────┤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proofErr w:type="gramStart"/>
      <w:r>
        <w:rPr>
          <w:rFonts w:ascii="Courier New" w:hAnsi="Courier New" w:cs="Courier New"/>
          <w:sz w:val="20"/>
          <w:szCs w:val="20"/>
        </w:rPr>
        <w:t>│1.7.3  │Услуги предприятий по прокату (за исключением     │     1,0      │</w:t>
      </w:r>
      <w:proofErr w:type="gramEnd"/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│проката предметов спорта, туризма, игр,           │       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│электробытовых машин и приборов)                  │       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├───────┼──────────────────────────────────────────────────┼──────────────┤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│1.7.3.1│Услуги предприятий по прокату предметов спорта,   │     0,3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│туризма, игр                                      │       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├───────┼──────────────────────────────────────────────────┼──────────────┤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│1.7.3.2│Услуги предприятий по прокату электробытовых машин│     0,7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│и приборов                                        │       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├───────┼──────────────────────────────────────────────────┼──────────────┤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│1.7.4  │Ритуальные, обрядовые услуги                      │     1,0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├───────┼──────────────────────────────────────────────────┼──────────────┤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│2      │Оказание услуг по предоставлению </w:t>
      </w:r>
      <w:proofErr w:type="gramStart"/>
      <w:r>
        <w:rPr>
          <w:rFonts w:ascii="Courier New" w:hAnsi="Courier New" w:cs="Courier New"/>
          <w:sz w:val="20"/>
          <w:szCs w:val="20"/>
        </w:rPr>
        <w:t>во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 временное     │     0,35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│владение (в пользование) мест для стоянки         │       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│автомототранспортных средств, а также хранению    │       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│автомототранспортных средств на платных стоянках  │       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│(в ред. </w:t>
      </w:r>
      <w:hyperlink r:id="rId22" w:history="1">
        <w:r>
          <w:rPr>
            <w:rFonts w:ascii="Courier New" w:hAnsi="Courier New" w:cs="Courier New"/>
            <w:color w:val="0000FF"/>
            <w:sz w:val="20"/>
            <w:szCs w:val="20"/>
          </w:rPr>
          <w:t>решения</w:t>
        </w:r>
      </w:hyperlink>
      <w:r>
        <w:rPr>
          <w:rFonts w:ascii="Courier New" w:hAnsi="Courier New" w:cs="Courier New"/>
          <w:sz w:val="20"/>
          <w:szCs w:val="20"/>
        </w:rPr>
        <w:t xml:space="preserve"> Думы города Ханты-Мансийска от 01.10.2012 N 278-V РД)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├───────┼──────────────────────────────────────────────────┼──────────────┤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│3      │Оказание автотранспортных услуг по перевозке      │      X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│пассажиров и грузов, осуществляемых организациями │       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│       │и индивидуальными предпринимателями, имеющими </w:t>
      </w:r>
      <w:proofErr w:type="gramStart"/>
      <w:r>
        <w:rPr>
          <w:rFonts w:ascii="Courier New" w:hAnsi="Courier New" w:cs="Courier New"/>
          <w:sz w:val="20"/>
          <w:szCs w:val="20"/>
        </w:rPr>
        <w:t>на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  │       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proofErr w:type="gramStart"/>
      <w:r>
        <w:rPr>
          <w:rFonts w:ascii="Courier New" w:hAnsi="Courier New" w:cs="Courier New"/>
          <w:sz w:val="20"/>
          <w:szCs w:val="20"/>
        </w:rPr>
        <w:t>│       │праве собственности или ином праве (пользования,  │              │</w:t>
      </w:r>
      <w:proofErr w:type="gramEnd"/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│владения и (или) распоряжения) не более 20        │       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│транспортных средств, предназначенных для оказания│       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│таких услуг                                       │       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├───────┼──────────────────────────────────────────────────┼──────────────┤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│3.1    │Оказание автотранспортных услуг по перевозке      │     1,0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│грузов                                            │       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lastRenderedPageBreak/>
        <w:t>├───────┼──────────────────────────────────────────────────┼──────────────┤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│3.2    │Оказание автотранспортных услуг по перевозке      │     1,0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│пассажиров (до 15 посадочных ме</w:t>
      </w:r>
      <w:proofErr w:type="gramStart"/>
      <w:r>
        <w:rPr>
          <w:rFonts w:ascii="Courier New" w:hAnsi="Courier New" w:cs="Courier New"/>
          <w:sz w:val="20"/>
          <w:szCs w:val="20"/>
        </w:rPr>
        <w:t>ст вкл</w:t>
      </w:r>
      <w:proofErr w:type="gramEnd"/>
      <w:r>
        <w:rPr>
          <w:rFonts w:ascii="Courier New" w:hAnsi="Courier New" w:cs="Courier New"/>
          <w:sz w:val="20"/>
          <w:szCs w:val="20"/>
        </w:rPr>
        <w:t>ючительно)   │       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├───────┼──────────────────────────────────────────────────┼──────────────┤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│3.3    │Оказание автотранспортных услуг по перевозке      │     0,8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│пассажиров (свыше 15 посадочных мест)             │       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├───────┼──────────────────────────────────────────────────┼──────────────┤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│4      │Оказание услуг общественного питания              │      X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├───────┼──────────────────────────────────────────────────┼──────────────┤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│4.1    │Оказание услуг общественного питания через объекты│     1,0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│организации общественного питания, имеющие залы   │       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│обслуживания посетителей                          │       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├───────┼──────────────────────────────────────────────────┼──────────────┤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│4.2    │Оказание услуг общественного питания через объекты│     0,8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│организации общественного питания, не имеющие     │       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│залов обслуживания посетителей                    │       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├───────┼──────────────────────────────────────────────────┼──────────────┤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│5      │Распространение наружной рекламы с использованием │      X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│рекламных конструкций рекламы                     │       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├───────┼──────────────────────────────────────────────────┼──────────────┤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│5.1    │Распространение наружной рекламы с использованием │     0,9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proofErr w:type="gramStart"/>
      <w:r>
        <w:rPr>
          <w:rFonts w:ascii="Courier New" w:hAnsi="Courier New" w:cs="Courier New"/>
          <w:sz w:val="20"/>
          <w:szCs w:val="20"/>
        </w:rPr>
        <w:t>│       │рекламных конструкций (за исключением             │              │</w:t>
      </w:r>
      <w:proofErr w:type="gramEnd"/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│       │распространения социальной рекламы </w:t>
      </w:r>
      <w:proofErr w:type="gramStart"/>
      <w:r>
        <w:rPr>
          <w:rFonts w:ascii="Courier New" w:hAnsi="Courier New" w:cs="Courier New"/>
          <w:sz w:val="20"/>
          <w:szCs w:val="20"/>
        </w:rPr>
        <w:t>с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              │       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│использованием рекламных конструкций, находящихся │       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│в муниципальной или государственной собственности)│       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├───────┼──────────────────────────────────────────────────┼──────────────┤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│5.2    │Распространение и (или) размещение </w:t>
      </w:r>
      <w:proofErr w:type="gramStart"/>
      <w:r>
        <w:rPr>
          <w:rFonts w:ascii="Courier New" w:hAnsi="Courier New" w:cs="Courier New"/>
          <w:sz w:val="20"/>
          <w:szCs w:val="20"/>
        </w:rPr>
        <w:t>социальной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     │     0,05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│       │рекламы на рекламных конструкциях, находящихся </w:t>
      </w:r>
      <w:proofErr w:type="gramStart"/>
      <w:r>
        <w:rPr>
          <w:rFonts w:ascii="Courier New" w:hAnsi="Courier New" w:cs="Courier New"/>
          <w:sz w:val="20"/>
          <w:szCs w:val="20"/>
        </w:rPr>
        <w:t>в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  │       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│муниципальной или государственной собственности   │              │</w:t>
      </w:r>
    </w:p>
    <w:p w:rsidR="00F6003B" w:rsidRDefault="00F6003B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└───────┴──────────────────────────────────────────────────┴──────────────┘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r>
        <w:rPr>
          <w:rFonts w:ascii="Calibri" w:hAnsi="Calibri" w:cs="Calibri"/>
        </w:rPr>
        <w:t>II. Коэффициенты, учитывающие ассортимент товаров (К</w:t>
      </w:r>
      <w:proofErr w:type="gramStart"/>
      <w:r>
        <w:rPr>
          <w:rFonts w:ascii="Calibri" w:hAnsi="Calibri" w:cs="Calibri"/>
        </w:rPr>
        <w:t>2</w:t>
      </w:r>
      <w:proofErr w:type="gramEnd"/>
      <w:r>
        <w:rPr>
          <w:rFonts w:ascii="Calibri" w:hAnsi="Calibri" w:cs="Calibri"/>
        </w:rPr>
        <w:t xml:space="preserve"> - 2)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7140"/>
        <w:gridCol w:w="1904"/>
      </w:tblGrid>
      <w:tr w:rsidR="00F6003B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03B" w:rsidRDefault="00F6003B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Группы (виды) товаров                                     </w:t>
            </w:r>
          </w:p>
        </w:tc>
        <w:tc>
          <w:tcPr>
            <w:tcW w:w="1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03B" w:rsidRDefault="00F6003B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Корректирующий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коэффициент К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  <w:proofErr w:type="gramEnd"/>
          </w:p>
        </w:tc>
      </w:tr>
      <w:tr w:rsidR="00F6003B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71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03B" w:rsidRDefault="00F6003B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Продовольственные товары (за исключением алкогольной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продукции и (или) пива)                                   </w:t>
            </w:r>
          </w:p>
        </w:tc>
        <w:tc>
          <w:tcPr>
            <w:tcW w:w="19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03B" w:rsidRDefault="00F6003B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0,8      </w:t>
            </w:r>
          </w:p>
        </w:tc>
      </w:tr>
      <w:tr w:rsidR="00F6003B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71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03B" w:rsidRDefault="00F6003B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Алкогольная продукция, пиво                               </w:t>
            </w:r>
          </w:p>
        </w:tc>
        <w:tc>
          <w:tcPr>
            <w:tcW w:w="19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03B" w:rsidRDefault="00F6003B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1,0      </w:t>
            </w:r>
          </w:p>
        </w:tc>
      </w:tr>
      <w:tr w:rsidR="00F6003B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71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03B" w:rsidRDefault="00F6003B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Непродовольственные товары                                </w:t>
            </w:r>
          </w:p>
        </w:tc>
        <w:tc>
          <w:tcPr>
            <w:tcW w:w="19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03B" w:rsidRDefault="00F6003B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1,0      </w:t>
            </w:r>
          </w:p>
        </w:tc>
      </w:tr>
    </w:tbl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 </w:t>
      </w:r>
      <w:proofErr w:type="gramStart"/>
      <w:r>
        <w:rPr>
          <w:rFonts w:ascii="Calibri" w:hAnsi="Calibri" w:cs="Calibri"/>
        </w:rPr>
        <w:t>случае</w:t>
      </w:r>
      <w:proofErr w:type="gramEnd"/>
      <w:r>
        <w:rPr>
          <w:rFonts w:ascii="Calibri" w:hAnsi="Calibri" w:cs="Calibri"/>
        </w:rPr>
        <w:t xml:space="preserve"> реализации смешанных групп товаров применяется коэффициент в размере 1,0.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r>
        <w:rPr>
          <w:rFonts w:ascii="Calibri" w:hAnsi="Calibri" w:cs="Calibri"/>
        </w:rPr>
        <w:t>III. Коэффициенты, учитывающие особенности места оказания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услуг общественного питания и розничной торговли (К</w:t>
      </w:r>
      <w:proofErr w:type="gramStart"/>
      <w:r>
        <w:rPr>
          <w:rFonts w:ascii="Calibri" w:hAnsi="Calibri" w:cs="Calibri"/>
        </w:rPr>
        <w:t>2</w:t>
      </w:r>
      <w:proofErr w:type="gramEnd"/>
      <w:r>
        <w:rPr>
          <w:rFonts w:ascii="Calibri" w:hAnsi="Calibri" w:cs="Calibri"/>
        </w:rPr>
        <w:t xml:space="preserve"> - 3)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7140"/>
        <w:gridCol w:w="1904"/>
      </w:tblGrid>
      <w:tr w:rsidR="00F6003B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03B" w:rsidRDefault="00F6003B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Место оказания услуг общественного питания и розничной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торговли                                                  </w:t>
            </w:r>
          </w:p>
        </w:tc>
        <w:tc>
          <w:tcPr>
            <w:tcW w:w="1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03B" w:rsidRDefault="00F6003B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Корректирующий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коэффициент К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  <w:proofErr w:type="gramEnd"/>
          </w:p>
        </w:tc>
      </w:tr>
      <w:tr w:rsidR="00F6003B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71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03B" w:rsidRDefault="00F6003B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1-я зона градостроительной ценности города Ханты-Мансийска</w:t>
            </w:r>
          </w:p>
        </w:tc>
        <w:tc>
          <w:tcPr>
            <w:tcW w:w="19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03B" w:rsidRDefault="00F6003B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1,0      </w:t>
            </w:r>
          </w:p>
        </w:tc>
      </w:tr>
      <w:tr w:rsidR="00F6003B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71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03B" w:rsidRDefault="00F6003B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2-я зона градостроительной ценности города Ханты-Мансийска</w:t>
            </w:r>
          </w:p>
        </w:tc>
        <w:tc>
          <w:tcPr>
            <w:tcW w:w="19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03B" w:rsidRDefault="00F6003B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0,9      </w:t>
            </w:r>
          </w:p>
        </w:tc>
      </w:tr>
      <w:tr w:rsidR="00F6003B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71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03B" w:rsidRDefault="00F6003B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3-я зона градостроительной ценности города Ханты-Мансийска</w:t>
            </w:r>
          </w:p>
        </w:tc>
        <w:tc>
          <w:tcPr>
            <w:tcW w:w="19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03B" w:rsidRDefault="00F6003B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0,7      </w:t>
            </w:r>
          </w:p>
        </w:tc>
      </w:tr>
      <w:tr w:rsidR="00F6003B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71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03B" w:rsidRDefault="00F6003B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4-я зона градостроительной ценности города Ханты-Мансийска</w:t>
            </w:r>
          </w:p>
        </w:tc>
        <w:tc>
          <w:tcPr>
            <w:tcW w:w="19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03B" w:rsidRDefault="00F6003B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0,8      </w:t>
            </w:r>
          </w:p>
        </w:tc>
      </w:tr>
      <w:tr w:rsidR="00F6003B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71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03B" w:rsidRDefault="00F6003B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5-я зона градостроительной ценности города Ханты-Мансийска</w:t>
            </w:r>
          </w:p>
        </w:tc>
        <w:tc>
          <w:tcPr>
            <w:tcW w:w="19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03B" w:rsidRDefault="00F6003B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0,9      </w:t>
            </w:r>
          </w:p>
        </w:tc>
      </w:tr>
      <w:tr w:rsidR="00F6003B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71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03B" w:rsidRDefault="00F6003B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6а - зона градостроительной ценности города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 xml:space="preserve">Ханты-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Мансийска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</w:t>
            </w:r>
          </w:p>
        </w:tc>
        <w:tc>
          <w:tcPr>
            <w:tcW w:w="19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03B" w:rsidRDefault="00F6003B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0,8      </w:t>
            </w:r>
          </w:p>
        </w:tc>
      </w:tr>
      <w:tr w:rsidR="00F6003B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71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03B" w:rsidRDefault="00F6003B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6б - зона градостроительной ценности города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 xml:space="preserve">Ханты-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Мансийска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        </w:t>
            </w:r>
          </w:p>
        </w:tc>
        <w:tc>
          <w:tcPr>
            <w:tcW w:w="19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03B" w:rsidRDefault="00F6003B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0,8      </w:t>
            </w:r>
          </w:p>
        </w:tc>
      </w:tr>
    </w:tbl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Зоны градостроительной ценности утверждены </w:t>
      </w:r>
      <w:hyperlink r:id="rId23" w:history="1">
        <w:r>
          <w:rPr>
            <w:rFonts w:ascii="Calibri" w:hAnsi="Calibri" w:cs="Calibri"/>
            <w:color w:val="0000FF"/>
          </w:rPr>
          <w:t>Решением</w:t>
        </w:r>
      </w:hyperlink>
      <w:r>
        <w:rPr>
          <w:rFonts w:ascii="Calibri" w:hAnsi="Calibri" w:cs="Calibri"/>
        </w:rPr>
        <w:t xml:space="preserve"> Думы города от 25 ноября 2003 года N 123.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r>
        <w:rPr>
          <w:rFonts w:ascii="Calibri" w:hAnsi="Calibri" w:cs="Calibri"/>
        </w:rPr>
        <w:t>IV. Коэффициенты, учитывающие количество работников,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включая индивидуального предпринимателя (К</w:t>
      </w:r>
      <w:proofErr w:type="gramStart"/>
      <w:r>
        <w:rPr>
          <w:rFonts w:ascii="Calibri" w:hAnsi="Calibri" w:cs="Calibri"/>
        </w:rPr>
        <w:t>2</w:t>
      </w:r>
      <w:proofErr w:type="gramEnd"/>
      <w:r>
        <w:rPr>
          <w:rFonts w:ascii="Calibri" w:hAnsi="Calibri" w:cs="Calibri"/>
        </w:rPr>
        <w:t xml:space="preserve"> - 4)</w:t>
      </w: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7140"/>
        <w:gridCol w:w="1904"/>
      </w:tblGrid>
      <w:tr w:rsidR="00F6003B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03B" w:rsidRDefault="00F6003B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Количество работников, включая индивидуального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предпринимателя                                           </w:t>
            </w:r>
          </w:p>
        </w:tc>
        <w:tc>
          <w:tcPr>
            <w:tcW w:w="1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03B" w:rsidRDefault="00F6003B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Корректирующий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коэффициент К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  <w:proofErr w:type="gramEnd"/>
          </w:p>
        </w:tc>
      </w:tr>
      <w:tr w:rsidR="00F6003B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71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03B" w:rsidRDefault="00F6003B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До 10 чел.                                                </w:t>
            </w:r>
          </w:p>
        </w:tc>
        <w:tc>
          <w:tcPr>
            <w:tcW w:w="19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03B" w:rsidRDefault="00F6003B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1,0      </w:t>
            </w:r>
          </w:p>
        </w:tc>
      </w:tr>
      <w:tr w:rsidR="00F6003B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71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03B" w:rsidRDefault="00F6003B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Свыше 10 чел.                                             </w:t>
            </w:r>
          </w:p>
        </w:tc>
        <w:tc>
          <w:tcPr>
            <w:tcW w:w="19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03B" w:rsidRDefault="00F6003B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0,8      </w:t>
            </w:r>
          </w:p>
        </w:tc>
      </w:tr>
    </w:tbl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F6003B" w:rsidRDefault="00F600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F6003B" w:rsidRDefault="00F6003B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987F57" w:rsidRDefault="00987F57"/>
    <w:sectPr w:rsidR="00987F57" w:rsidSect="00AA7C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F6003B"/>
    <w:rsid w:val="00000BA6"/>
    <w:rsid w:val="00025BF9"/>
    <w:rsid w:val="00036369"/>
    <w:rsid w:val="00047F28"/>
    <w:rsid w:val="0006160F"/>
    <w:rsid w:val="00067923"/>
    <w:rsid w:val="0008764C"/>
    <w:rsid w:val="00093576"/>
    <w:rsid w:val="000B2E77"/>
    <w:rsid w:val="000E6B50"/>
    <w:rsid w:val="00110E48"/>
    <w:rsid w:val="00122698"/>
    <w:rsid w:val="00125217"/>
    <w:rsid w:val="00147FE0"/>
    <w:rsid w:val="00183534"/>
    <w:rsid w:val="00185947"/>
    <w:rsid w:val="00194BF4"/>
    <w:rsid w:val="001F7BAB"/>
    <w:rsid w:val="00210CA6"/>
    <w:rsid w:val="0021368E"/>
    <w:rsid w:val="00227866"/>
    <w:rsid w:val="002510A8"/>
    <w:rsid w:val="002962A0"/>
    <w:rsid w:val="00303526"/>
    <w:rsid w:val="003054A7"/>
    <w:rsid w:val="00345AB4"/>
    <w:rsid w:val="00373FFF"/>
    <w:rsid w:val="00381F6D"/>
    <w:rsid w:val="0038230C"/>
    <w:rsid w:val="00393C91"/>
    <w:rsid w:val="003A000E"/>
    <w:rsid w:val="003C56BD"/>
    <w:rsid w:val="003F0582"/>
    <w:rsid w:val="00413E0A"/>
    <w:rsid w:val="0041528C"/>
    <w:rsid w:val="00443D81"/>
    <w:rsid w:val="004602EA"/>
    <w:rsid w:val="004E2B92"/>
    <w:rsid w:val="00515443"/>
    <w:rsid w:val="005215C9"/>
    <w:rsid w:val="00522E34"/>
    <w:rsid w:val="00537890"/>
    <w:rsid w:val="0056716C"/>
    <w:rsid w:val="005A6498"/>
    <w:rsid w:val="005F6412"/>
    <w:rsid w:val="00610FBA"/>
    <w:rsid w:val="006D26DB"/>
    <w:rsid w:val="006D6B5B"/>
    <w:rsid w:val="006F6201"/>
    <w:rsid w:val="007014DA"/>
    <w:rsid w:val="00714C03"/>
    <w:rsid w:val="00746320"/>
    <w:rsid w:val="00764D3C"/>
    <w:rsid w:val="00783BFB"/>
    <w:rsid w:val="00796A99"/>
    <w:rsid w:val="007C7744"/>
    <w:rsid w:val="007D6E98"/>
    <w:rsid w:val="007F24EC"/>
    <w:rsid w:val="00841A5B"/>
    <w:rsid w:val="00887EE1"/>
    <w:rsid w:val="008C6C70"/>
    <w:rsid w:val="008E2D6C"/>
    <w:rsid w:val="008E39F8"/>
    <w:rsid w:val="008E5B33"/>
    <w:rsid w:val="008E665D"/>
    <w:rsid w:val="0097161B"/>
    <w:rsid w:val="00977EBA"/>
    <w:rsid w:val="00985BA4"/>
    <w:rsid w:val="00987F57"/>
    <w:rsid w:val="00991D1F"/>
    <w:rsid w:val="009A539D"/>
    <w:rsid w:val="009B0C5D"/>
    <w:rsid w:val="009C0D7F"/>
    <w:rsid w:val="009E670D"/>
    <w:rsid w:val="00A537F5"/>
    <w:rsid w:val="00A73BF7"/>
    <w:rsid w:val="00B029A6"/>
    <w:rsid w:val="00B1410B"/>
    <w:rsid w:val="00B37C51"/>
    <w:rsid w:val="00B50D3E"/>
    <w:rsid w:val="00B540CC"/>
    <w:rsid w:val="00B57A23"/>
    <w:rsid w:val="00B92BFF"/>
    <w:rsid w:val="00BB0221"/>
    <w:rsid w:val="00BD1B7A"/>
    <w:rsid w:val="00C2429A"/>
    <w:rsid w:val="00C31227"/>
    <w:rsid w:val="00C31DE8"/>
    <w:rsid w:val="00C5205F"/>
    <w:rsid w:val="00C93419"/>
    <w:rsid w:val="00CD3AB8"/>
    <w:rsid w:val="00CF1A21"/>
    <w:rsid w:val="00D23000"/>
    <w:rsid w:val="00D26D5E"/>
    <w:rsid w:val="00D303A4"/>
    <w:rsid w:val="00DA643A"/>
    <w:rsid w:val="00DC0770"/>
    <w:rsid w:val="00DC1B47"/>
    <w:rsid w:val="00DE507D"/>
    <w:rsid w:val="00E10E70"/>
    <w:rsid w:val="00E515AA"/>
    <w:rsid w:val="00E602FA"/>
    <w:rsid w:val="00E61EBA"/>
    <w:rsid w:val="00E73CE2"/>
    <w:rsid w:val="00E76F0F"/>
    <w:rsid w:val="00E85283"/>
    <w:rsid w:val="00ED59D0"/>
    <w:rsid w:val="00EE0649"/>
    <w:rsid w:val="00EE0D87"/>
    <w:rsid w:val="00EF037A"/>
    <w:rsid w:val="00F04439"/>
    <w:rsid w:val="00F53AF7"/>
    <w:rsid w:val="00F6003B"/>
    <w:rsid w:val="00FB4433"/>
    <w:rsid w:val="00FC60A6"/>
    <w:rsid w:val="00FD11A7"/>
    <w:rsid w:val="00FD2B22"/>
    <w:rsid w:val="00FF14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7F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F6003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E5DE41770C93512B73D95EEB39031914AC71DAD699FAF01833E62B9796CF3A04C03562774175681A00F33a6N8K" TargetMode="External"/><Relationship Id="rId13" Type="http://schemas.openxmlformats.org/officeDocument/2006/relationships/hyperlink" Target="consultantplus://offline/ref=4E5DE41770C93512B73D95EEB39031914AC71DAD6B9BAA078B3E62B9796CF3A04C03562774175681A00F33a6N8K" TargetMode="External"/><Relationship Id="rId18" Type="http://schemas.openxmlformats.org/officeDocument/2006/relationships/hyperlink" Target="consultantplus://offline/ref=4E5DE41770C93512B73D8BE3A5FC669E4DC840A0699BA754D66139E42E65F9F70B4C0F65301A5287aAN7K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4E5DE41770C93512B73D8BE3A5FC669E4DC840A0699BA754D66139E42E65F9F70B4C0F65301A5287aAN7K" TargetMode="External"/><Relationship Id="rId7" Type="http://schemas.openxmlformats.org/officeDocument/2006/relationships/hyperlink" Target="consultantplus://offline/ref=4E5DE41770C93512B73D8BE3A5FC669E4DCF4BA76794A754D66139E42E65F9F70B4C0F6530195083aAN5K" TargetMode="External"/><Relationship Id="rId12" Type="http://schemas.openxmlformats.org/officeDocument/2006/relationships/hyperlink" Target="consultantplus://offline/ref=4E5DE41770C93512B73D95EEB39031914AC71DAD679FA803823E62B9796CF3A04C03562774175681A00F32a6NFK" TargetMode="External"/><Relationship Id="rId17" Type="http://schemas.openxmlformats.org/officeDocument/2006/relationships/hyperlink" Target="consultantplus://offline/ref=4E5DE41770C93512B73D95EEB39031914AC71DAD679FA803823E62B9796CF3A04C03562774175681A00F32a6NDK" TargetMode="External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4E5DE41770C93512B73D95EEB39031914AC71DAD6B9BAA078B3E62B9796CF3A04C03562774175681A00F30a6NCK" TargetMode="External"/><Relationship Id="rId20" Type="http://schemas.openxmlformats.org/officeDocument/2006/relationships/hyperlink" Target="consultantplus://offline/ref=4E5DE41770C93512B73D8BE3A5FC669E4DC840A0699BA754D66139E42E65F9F70B4C0F65301A5287aAN7K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4E5DE41770C93512B73D95EEB39031914AC71DAD679FA803823E62B9796CF3A04C03562774175681A00F33a6N8K" TargetMode="External"/><Relationship Id="rId11" Type="http://schemas.openxmlformats.org/officeDocument/2006/relationships/hyperlink" Target="consultantplus://offline/ref=4E5DE41770C93512B73D95EEB39031914AC71DAD679FA803823E62B9796CF3A04C03562774175681A00F32a6NEK" TargetMode="External"/><Relationship Id="rId24" Type="http://schemas.openxmlformats.org/officeDocument/2006/relationships/fontTable" Target="fontTable.xml"/><Relationship Id="rId5" Type="http://schemas.openxmlformats.org/officeDocument/2006/relationships/hyperlink" Target="consultantplus://offline/ref=4E5DE41770C93512B73D95EEB39031914AC71DAD699FAF01833E62B9796CF3A04C03562774175681A00F33a6NBK" TargetMode="External"/><Relationship Id="rId15" Type="http://schemas.openxmlformats.org/officeDocument/2006/relationships/hyperlink" Target="consultantplus://offline/ref=4E5DE41770C93512B73D95EEB39031914AC71DAD699FAF01833E62B9796CF3A04C03562774175681A00F33a6N9K" TargetMode="External"/><Relationship Id="rId23" Type="http://schemas.openxmlformats.org/officeDocument/2006/relationships/hyperlink" Target="consultantplus://offline/ref=4E5DE41770C93512B73D95EEB39031914AC71DAD6E9BA4018E3E62B9796CF3A04C03562774175681A00F32a6NCK" TargetMode="External"/><Relationship Id="rId10" Type="http://schemas.openxmlformats.org/officeDocument/2006/relationships/hyperlink" Target="consultantplus://offline/ref=4E5DE41770C93512B73D95EEB39031914AC71DAD679FA803823E62B9796CF3A04C03562774175681A00F33a6N7K" TargetMode="External"/><Relationship Id="rId19" Type="http://schemas.openxmlformats.org/officeDocument/2006/relationships/hyperlink" Target="consultantplus://offline/ref=4E5DE41770C93512B73D8BE3A5FC669E4DC840A0699BA754D66139E42E65F9F70B4C0F65301A5287aAN7K" TargetMode="External"/><Relationship Id="rId4" Type="http://schemas.openxmlformats.org/officeDocument/2006/relationships/hyperlink" Target="consultantplus://offline/ref=4E5DE41770C93512B73D95EEB39031914AC71DAD6B9BAA078B3E62B9796CF3A04C03562774175681A00F33a6NBK" TargetMode="External"/><Relationship Id="rId9" Type="http://schemas.openxmlformats.org/officeDocument/2006/relationships/hyperlink" Target="consultantplus://offline/ref=4E5DE41770C93512B73D95EEB39031914AC71DAD679FA803823E62B9796CF3A04C03562774175681A00F33a6N9K" TargetMode="External"/><Relationship Id="rId14" Type="http://schemas.openxmlformats.org/officeDocument/2006/relationships/hyperlink" Target="consultantplus://offline/ref=4E5DE41770C93512B73D95EEB39031914AC71DAD6B9BAA078B3E62B9796CF3A04C03562774175681A00F31a6N7K" TargetMode="External"/><Relationship Id="rId22" Type="http://schemas.openxmlformats.org/officeDocument/2006/relationships/hyperlink" Target="consultantplus://offline/ref=4E5DE41770C93512B73D95EEB39031914AC71DAD679FA803823E62B9796CF3A04C03562774175681A00F32a6NA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2598</Words>
  <Characters>14813</Characters>
  <Application>Microsoft Office Word</Application>
  <DocSecurity>0</DocSecurity>
  <Lines>123</Lines>
  <Paragraphs>34</Paragraphs>
  <ScaleCrop>false</ScaleCrop>
  <Company>Депфин</Company>
  <LinksUpToDate>false</LinksUpToDate>
  <CharactersWithSpaces>17377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snisarenko</dc:creator>
  <cp:keywords/>
  <dc:description/>
  <cp:lastModifiedBy>snisarenko</cp:lastModifiedBy>
  <cp:revision>1</cp:revision>
  <dcterms:created xsi:type="dcterms:W3CDTF">2013-04-19T10:13:00Z</dcterms:created>
  <dcterms:modified xsi:type="dcterms:W3CDTF">2013-04-19T10:13:00Z</dcterms:modified>
</cp:coreProperties>
</file>